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0"/>
        <w:jc w:val="center"/>
      </w:pPr>
      <w:r>
        <w:rPr>
          <w:rFonts w:ascii="Times New Roman" w:cs="Times New Roman" w:eastAsia="Times New Roman" w:hAnsi="Times New Roman"/>
          <w:b/>
          <w:bCs/>
          <w:sz w:val="56"/>
          <w:szCs w:val="56"/>
        </w:rPr>
        <w:t xml:space="preserve">Директ-мейл</w:t>
      </w:r>
    </w:p>
    <w:p>
      <w:r>
        <w:br w:type="page"/>
      </w:r>
    </w:p>
    <w:p>
      <w:pPr>
        <w:pStyle w:val="Heading1"/>
        <w:spacing w:after="200" w:before="360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Описание проекта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Имиджевая директ-мейл рассылка от Правительства Чукотского автономного округа. Цель проекта: привлечение частных инвесторов в регион в двух приоритетных отраслях, гостиничный бизнес и недропользование. Каждому адресату направляется персонализированный комплект материалов в крафтовом конверте формата С4. Доставка по Москве осуществляется лично или через курьера. Отправитель: Губернатор Чукотского АО В.Г. Кузнецов и Департамент экономики и инвестиций ЧАО.</w:t>
      </w:r>
    </w:p>
    <w:p>
      <w:pPr>
        <w:pStyle w:val="Heading1"/>
        <w:spacing w:after="200" w:before="360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Концепция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условиях информационного шума цифровых каналов физический носитель премиального качества возвращает себе функцию заметного обращения, обязательного к прочтению. Стилистика проекта строится на сдержанном минимализме «Чукотка Будущего»: природная фактура крафта в сочетании с золотыми акцентами, тиснение на дизайнерской бумаге, тактильная отделка Soft Touch.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Уровень подачи ориентирован на референс рассылки Forbes Russia, разосланной топ-предпринимателям с приглашениями на закрытое мероприятие в Барвиха Luxury Village. Визуальное решение адаптировано под северную эстетику Чукотки.</w:t>
      </w:r>
    </w:p>
    <w:p>
      <w:pPr>
        <w:pStyle w:val="Heading1"/>
        <w:spacing w:after="200" w:before="360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Цели</w:t>
      </w:r>
    </w:p>
    <w:p>
      <w:pPr>
        <w:pStyle w:val="ListParagraph"/>
        <w:numPr>
          <w:ilvl w:val="0"/>
          <w:numId w:val="2"/>
        </w:numPr>
        <w:spacing w:after="10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Сформировать прямой канал коммуникации с потенциальными инвесторами, минуя цифровой шум корпоративной почты и колл-центров.</w:t>
      </w:r>
    </w:p>
    <w:p>
      <w:pPr>
        <w:pStyle w:val="ListParagraph"/>
        <w:numPr>
          <w:ilvl w:val="0"/>
          <w:numId w:val="2"/>
        </w:numPr>
        <w:spacing w:after="10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Закрепить за Чукотским АО статус привлекательной инвестиционной площадки в двух приоритетных отраслях.</w:t>
      </w:r>
    </w:p>
    <w:p>
      <w:pPr>
        <w:pStyle w:val="ListParagraph"/>
        <w:numPr>
          <w:ilvl w:val="0"/>
          <w:numId w:val="2"/>
        </w:numPr>
        <w:spacing w:after="10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Получить запросы и инициировать переговоры с лицами, принимающими решения, по каждому направлению.</w:t>
      </w:r>
    </w:p>
    <w:p>
      <w:pPr>
        <w:pStyle w:val="Heading1"/>
        <w:spacing w:after="200" w:before="360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Параметры кампании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Кампания состоит из двух параллельных потоков по приоритетным отраслям региона.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3480"/>
        <w:gridCol w:w="3480"/>
      </w:tblGrid>
      <w:tr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8E8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Параметр</w:t>
            </w:r>
          </w:p>
        </w:tc>
        <w:tc>
          <w:tcPr>
            <w:tcW w:type="dxa" w:w="34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8E8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Гостиничный бизнес</w:t>
            </w:r>
          </w:p>
        </w:tc>
        <w:tc>
          <w:tcPr>
            <w:tcW w:type="dxa" w:w="34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8E8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Недропользование</w:t>
            </w:r>
          </w:p>
        </w:tc>
      </w:tr>
      <w:tr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Целевая аудитория</w:t>
            </w:r>
          </w:p>
        </w:tc>
        <w:tc>
          <w:tcPr>
            <w:tcW w:type="dxa" w:w="34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Крупный и средний бизнес (выручка от 120 млн ₽)</w:t>
            </w:r>
          </w:p>
        </w:tc>
        <w:tc>
          <w:tcPr>
            <w:tcW w:type="dxa" w:w="34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Только крупный бизнес (выручка от 1 млрд ₽)</w:t>
            </w:r>
          </w:p>
        </w:tc>
      </w:tr>
      <w:tr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Тираж</w:t>
            </w:r>
          </w:p>
        </w:tc>
        <w:tc>
          <w:tcPr>
            <w:tcW w:type="dxa" w:w="34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50 комплектов</w:t>
            </w:r>
          </w:p>
        </w:tc>
        <w:tc>
          <w:tcPr>
            <w:tcW w:type="dxa" w:w="34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50 комплектов</w:t>
            </w:r>
          </w:p>
        </w:tc>
      </w:tr>
      <w:tr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Тон коммуникации</w:t>
            </w:r>
          </w:p>
        </w:tc>
        <w:tc>
          <w:tcPr>
            <w:tcW w:type="dxa" w:w="34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Деловой, приглашающий</w:t>
            </w:r>
          </w:p>
        </w:tc>
        <w:tc>
          <w:tcPr>
            <w:tcW w:type="dxa" w:w="34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Деловой, экспертный</w:t>
            </w:r>
          </w:p>
        </w:tc>
      </w:tr>
      <w:tr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Отправитель</w:t>
            </w:r>
          </w:p>
        </w:tc>
        <w:tc>
          <w:tcPr>
            <w:tcW w:type="dxa" w:w="34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Губернатор ЧАО В.Г. Кузнецов и Департамент экономики и инвестиций</w:t>
            </w:r>
          </w:p>
        </w:tc>
        <w:tc>
          <w:tcPr>
            <w:tcW w:type="dxa" w:w="34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Губернатор ЧАО В.Г. Кузнецов и Департамент экономики и инвестиций</w:t>
            </w:r>
          </w:p>
        </w:tc>
      </w:tr>
      <w:tr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Способ доставки</w:t>
            </w:r>
          </w:p>
        </w:tc>
        <w:tc>
          <w:tcPr>
            <w:tcW w:type="dxa" w:w="34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Личная доставка по Москве</w:t>
            </w:r>
          </w:p>
        </w:tc>
        <w:tc>
          <w:tcPr>
            <w:tcW w:type="dxa" w:w="34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Личная доставка по Москве</w:t>
            </w:r>
          </w:p>
        </w:tc>
      </w:tr>
      <w:tr>
        <w:tc>
          <w:tcPr>
            <w:tcW w:type="dxa" w:w="2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География получателей</w:t>
            </w:r>
          </w:p>
        </w:tc>
        <w:tc>
          <w:tcPr>
            <w:tcW w:type="dxa" w:w="34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Москва (офисы)</w:t>
            </w:r>
          </w:p>
        </w:tc>
        <w:tc>
          <w:tcPr>
            <w:tcW w:type="dxa" w:w="34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Москва (офисы)</w:t>
            </w:r>
          </w:p>
        </w:tc>
      </w:tr>
    </w:tbl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Итого по проекту: 100 комплектов.</w:t>
      </w:r>
    </w:p>
    <w:p>
      <w:pPr>
        <w:pStyle w:val="Heading1"/>
        <w:spacing w:after="200" w:before="360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Целевая аудитория и принципы отбора</w:t>
      </w:r>
    </w:p>
    <w:p>
      <w:pPr>
        <w:pStyle w:val="Heading2"/>
        <w:spacing w:after="160" w:before="28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Гостиничный бизнес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Девелоперы и инвесторы в гостиничные объекты в северных и туристических регионах, инвестфонды в направлении туризма, операторы экотуризма и глэмпингов. Источники для формирования базы: Forbes Россия, РБК 500, SPARK-Интерфакс, материалы Russia Hotel Investment Conference.</w:t>
      </w:r>
    </w:p>
    <w:p>
      <w:pPr>
        <w:pStyle w:val="Heading2"/>
        <w:spacing w:after="160" w:before="28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Недропользование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Действующие недропользователи с лицензиями в ДФО, золотодобывающие, серебродобывающие, медедобывающие и оловодобывающие компании, геологоразведочные предприятия, инвестхолдинги с горнодобывающими активами. Источники: реестры Роснедр, материалы MINEX и Eastern Economic Forum.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Во всех случаях адресатом выступает лицо, принимающее решения: генеральный директор, председатель совета директоров, управляющий партнёр, вице-президент по развитию или инвестициям.</w:t>
      </w:r>
    </w:p>
    <w:p>
      <w:pPr>
        <w:pStyle w:val="Heading1"/>
        <w:spacing w:after="200" w:before="360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Состав комплекта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Каждый комплект включает шесть элементов. Ниже приведены спецификации и обоснование выбора материалов.</w:t>
      </w:r>
    </w:p>
    <w:p>
      <w:pPr>
        <w:pStyle w:val="Heading2"/>
        <w:spacing w:after="160" w:before="28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1. Конверт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Формат С4 (229×324 мм), вмещает лист А4 без сгибов. Материал: плотная крафт-бумага 120-130 г/м². Застёжка классическая шнуровая (button-and-string closure), два кружка с верёвкой. На лицевой стороне выполнено тиснение логотипа проекта. Имя адресата нанесено рукописным шрифтом цифровой печатью, индивидуально для каждого комплекта.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Обоснование.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Крафт-конверт со шнуровой застёжкой воспринимается как значимый документ и не ассоциируется с массовой рассылкой, что стимулирует открытие. Плотность 120-130 г/м² обеспечивает жёсткость, защиту вложения и тактильно «статусное» ощущение. Шнуровая застёжка является осознанным архаичным элементом, отсылающим к традиции официальной переписки и подчёркивающим уровень отправителя.</w:t>
      </w:r>
    </w:p>
    <w:p>
      <w:pPr>
        <w:pStyle w:val="Heading2"/>
        <w:spacing w:after="160" w:before="28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2. Персональное письмо Губернатора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Формат: один лист А4, односторонняя печать. Бумага: дизайнерская плотностью 250-300 г/м² (Sirio Pearl или Splendorgel). В верхней части листа выполнено тиснение двуглавого орла Российской Федерации золотой фольгой. Внизу размещено факсимиле подписи Губернатора и стилизованное изображение здания Правительства. Персонализация по имени и отчеству адресата.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Структура текста: приветствие, обращение по имени и отчеству, краткое представление инвестиционного потенциала региона по конкретной отрасли, приглашение к сотрудничеству, контактные данные ответственного лица, подпись Губернатора Чукотского АО В.Г. Кузнецова.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Обоснование.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Бумага Sirio Pearl обладает перламутровой фактурой с лёгким металлическим эффектом, что оптимально сочетается с золотым тиснением. Плотность 300 г/м² исключает прозрачность и придаёт листу ощущение документа, а не печатной листовки. Тиснение фольгой, в отличие от печати золотой краской, оставляет физический оттиск на бумаге, считываемый тактильно. Двуглавый орёл Российской Федерации (не герб Чукотского АО) обозначает уровень отправителя как государственного должностного лица, действующего в рамках федеральной системы.</w:t>
      </w:r>
    </w:p>
    <w:p>
      <w:pPr>
        <w:pStyle w:val="Heading2"/>
        <w:spacing w:after="160" w:before="28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3. Презентационная брошюра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Формат А4, объём 16 страниц включая обложку. Скрепление КБС (клеевое бесшвейное) с мягкой обложкой. Бумага блока: мелованная матовая 170 г/м². Обложка: дизайнерский картон 300 г/м² с покрытием Soft Touch и выборочным УФ-лаком на логотипе и ключевых элементах. Печать 4+4, CMYK.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Содержание брошюры по теме «Гостиничный бизнес» (16 стр.).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Обложка с панорамным пейзажем Чукотки и выборочным УФ-лаком; приветственный разворот от имени Правительства региона; ключевые цифры о туристическом потенциале (инфографика); описание приоритетных площадок и земельных участков с фотографиями; раздел об экотуризме и арктическом туризме как растущем тренде; примеры успешных проектов в северных регионах; финансовые модели и прогнозы окупаемости; меры государственной поддержки (обзорно); контактная информация и QR-код на инвестиционный портал.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Содержание брошюры по теме «Недропользование» (16 стр.).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Обложка с индустриальным пейзажем региона и выборочным УФ-лаком; приветственный разворот; карта месторождений и лицензионных участков (полноцветная инфографика); данные о запасах полезных ископаемых (золото, серебро, медь, олово, вольфрам); описание действующих и перспективных проектов; логистическая инфраструктура (Северный морской путь, порты, аэропорты); меры государственной поддержки недропользователей; контактная информация и QR-код.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Обоснование.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Покрытие Soft Touch создаёт бархатистую тактильную поверхность и обеспечивает премиальное ощущение при первом контакте с обложкой. Выборочный УФ-лак формирует глянцевый акцент на матовом фоне, что характерно для премиальной отделки. Скрепление КБС, в отличие от скобы или пружины, придаёт изданию статус полноценной книги. Объём 16 страниц достаточен, чтобы раскрыть отрасль, и не перегружает адресата избыточной информацией.</w:t>
      </w:r>
    </w:p>
    <w:p>
      <w:pPr>
        <w:pStyle w:val="Heading2"/>
        <w:spacing w:after="160" w:before="28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4. Информационные листы «Меры поддержки»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 листа формата А4, мелованная матовая 170 г/м², печать 4+4. Содержание: территории опережающего развития (ТОР), режим Свободного порта Владивосток, региональные субсидии и гранты, инфраструктурная поддержка, административное сопровождение инвестора.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Обоснование.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Информационные листы выносят детали мер поддержки за рамки брошюры. Это позволяет инвестору сослаться на них в рабочей переписке и сохранить отдельно от презентационных материалов. Стандартный формат А4 совместим со внутренним документооборотом любой компании.</w:t>
      </w:r>
    </w:p>
    <w:p>
      <w:pPr>
        <w:pStyle w:val="Heading2"/>
        <w:spacing w:after="160" w:before="28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5. Стикерпак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14 стикеров в комплекте. Виниловая плёнка, глянцевая ламинация, формат 70×70 мм.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Состав:</w:t>
      </w:r>
    </w:p>
    <w:p>
      <w:pPr>
        <w:pStyle w:val="ListParagraph"/>
        <w:numPr>
          <w:ilvl w:val="0"/>
          <w:numId w:val="2"/>
        </w:numPr>
        <w:spacing w:after="10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«СОГЛАСОВАНО» (золотой штамп)</w:t>
      </w:r>
    </w:p>
    <w:p>
      <w:pPr>
        <w:pStyle w:val="ListParagraph"/>
        <w:numPr>
          <w:ilvl w:val="0"/>
          <w:numId w:val="2"/>
        </w:numPr>
        <w:spacing w:after="10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«ДЛЯ ИНВЕСТОРА»</w:t>
      </w:r>
    </w:p>
    <w:p>
      <w:pPr>
        <w:pStyle w:val="ListParagraph"/>
        <w:numPr>
          <w:ilvl w:val="0"/>
          <w:numId w:val="2"/>
        </w:numPr>
        <w:spacing w:after="10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«ЛИЧНЫЙ КОНТРОЛЬ»</w:t>
      </w:r>
    </w:p>
    <w:p>
      <w:pPr>
        <w:pStyle w:val="ListParagraph"/>
        <w:numPr>
          <w:ilvl w:val="0"/>
          <w:numId w:val="2"/>
        </w:numPr>
        <w:spacing w:after="10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«КОНФИДЕНЦИАЛЬНО»</w:t>
      </w:r>
    </w:p>
    <w:p>
      <w:pPr>
        <w:pStyle w:val="ListParagraph"/>
        <w:numPr>
          <w:ilvl w:val="0"/>
          <w:numId w:val="2"/>
        </w:numPr>
        <w:spacing w:after="10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Золотой двуглавый орёл</w:t>
      </w:r>
    </w:p>
    <w:p>
      <w:pPr>
        <w:pStyle w:val="ListParagraph"/>
        <w:numPr>
          <w:ilvl w:val="0"/>
          <w:numId w:val="2"/>
        </w:numPr>
        <w:spacing w:after="10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Золотая карта Чукотки</w:t>
      </w:r>
    </w:p>
    <w:p>
      <w:pPr>
        <w:pStyle w:val="ListParagraph"/>
        <w:numPr>
          <w:ilvl w:val="0"/>
          <w:numId w:val="2"/>
        </w:numPr>
        <w:spacing w:after="10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Северное сияние в минималистичной графике</w:t>
      </w:r>
    </w:p>
    <w:p>
      <w:pPr>
        <w:pStyle w:val="ListParagraph"/>
        <w:numPr>
          <w:ilvl w:val="0"/>
          <w:numId w:val="2"/>
        </w:numPr>
        <w:spacing w:after="10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Ледокол в премиальном стиле</w:t>
      </w:r>
    </w:p>
    <w:p>
      <w:pPr>
        <w:pStyle w:val="ListParagraph"/>
        <w:numPr>
          <w:ilvl w:val="0"/>
          <w:numId w:val="2"/>
        </w:numPr>
        <w:spacing w:after="10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«Чукотка Будущего» (логотип)</w:t>
      </w:r>
    </w:p>
    <w:p>
      <w:pPr>
        <w:pStyle w:val="ListParagraph"/>
        <w:numPr>
          <w:ilvl w:val="0"/>
          <w:numId w:val="2"/>
        </w:numPr>
        <w:spacing w:after="10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«Чукотка Будущего» (полная версия)</w:t>
      </w:r>
    </w:p>
    <w:p>
      <w:pPr>
        <w:pStyle w:val="ListParagraph"/>
        <w:numPr>
          <w:ilvl w:val="0"/>
          <w:numId w:val="2"/>
        </w:numPr>
        <w:spacing w:after="10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«Ушло в Москву»</w:t>
      </w:r>
    </w:p>
    <w:p>
      <w:pPr>
        <w:pStyle w:val="ListParagraph"/>
        <w:numPr>
          <w:ilvl w:val="0"/>
          <w:numId w:val="2"/>
        </w:numPr>
        <w:spacing w:after="10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«Губернатор увидел»</w:t>
      </w:r>
    </w:p>
    <w:p>
      <w:pPr>
        <w:pStyle w:val="ListParagraph"/>
        <w:numPr>
          <w:ilvl w:val="0"/>
          <w:numId w:val="2"/>
        </w:numPr>
        <w:spacing w:after="10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«Переделываем»</w:t>
      </w:r>
    </w:p>
    <w:p>
      <w:pPr>
        <w:pStyle w:val="ListParagraph"/>
        <w:numPr>
          <w:ilvl w:val="0"/>
          <w:numId w:val="2"/>
        </w:numPr>
        <w:spacing w:after="10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«WELCOME TO CHUKOTKA»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 один комплект приходится 14 стикеров. На тираж одной темы (50 комплектов) изготавливается 700 стикеров. Общий тираж по двум темам: 1 400 стикеров.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Обоснование.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Стикерпак является неожиданным элементом в официальной рассылке. Он запоминается, обсуждается и продлевает срок взаимодействия адресата с комплектом. Стикеры с «канцелярскими» обозначениями («Согласовано», «Для инвестора», «Личный контроль», «Конфиденциально») визуально встраивают комплект в рабочий контекст адресата. Тематические стикеры (карта Чукотки, ледокол, орёл, северное сияние) формируют узнаваемый визуальный код проекта. Стикеры с лёгкой иронией («Ушло в Москву», «Губернатор увидел», «Переделываем») разбавляют официальный тон и создают эмоциональный контакт.</w:t>
      </w:r>
    </w:p>
    <w:p>
      <w:pPr>
        <w:pStyle w:val="Heading2"/>
        <w:spacing w:after="160" w:before="280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6. QR-карточка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Формат визитки 90×50 мм. Дизайнерский картон 350 г/м² с покрытием Soft Touch. На лицевой стороне размещён QR-код на инвестиционный портал региона. На оборотной стороне указан контакт ответственного лица: телефон, e-mail, Telegram.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Обоснование.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QR-карточка является стандартизированным форматом для быстрого перехода в цифровой канал. Картон 350 г/м² с покрытием Soft Touch обеспечивает износостойкость, и карточка сохраняет товарный вид при попадании в визитницу адресата.</w:t>
      </w:r>
    </w:p>
    <w:p>
      <w:pPr>
        <w:pStyle w:val="Heading1"/>
        <w:spacing w:after="200" w:before="360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Доставка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Основной формат: личная доставка по Москве в рабочее время силами проектной команды (без дополнительных затрат). Тайминг: вторник, среда, четверг, с 10:00 до 13:00. Тираж разбивается на 2-3 рабочих дня по 15-25 конвертов в день. Follow-up осуществляется через 3-5 рабочих дней после доставки.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Резервные варианты доставки:</w:t>
      </w:r>
    </w:p>
    <w:p>
      <w:pPr>
        <w:pStyle w:val="ListParagraph"/>
        <w:numPr>
          <w:ilvl w:val="0"/>
          <w:numId w:val="3"/>
        </w:numPr>
        <w:spacing w:after="8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Заказное письмо на юридическое лицо через Почту России с уведомлением о вручении (150-250 ₽). Применяется в случае отказа адресата принимать корреспонденцию лично, отсутствия адресата в офисе или ограничений пропускного режима. Заказное письмо фиксирует факт вручения юридически значимым образом.</w:t>
      </w:r>
    </w:p>
    <w:p>
      <w:pPr>
        <w:pStyle w:val="ListParagraph"/>
        <w:numPr>
          <w:ilvl w:val="0"/>
          <w:numId w:val="3"/>
        </w:numPr>
        <w:spacing w:after="8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Курьерская служба «Яндекс Доставка» или «Достависта» (300-700 ₽). Применяется при невозможности личной доставки в указанный временной слот.</w:t>
      </w:r>
    </w:p>
    <w:p>
      <w:pPr>
        <w:pStyle w:val="ListParagraph"/>
        <w:numPr>
          <w:ilvl w:val="0"/>
          <w:numId w:val="3"/>
        </w:numPr>
        <w:spacing w:after="8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СДЭК или Boxberry (400-800 ₽). Применяется для адресатов вне Москвы.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Учёт показателя доставки.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По опыту аналогичных кампаний часть адресатов отказывается принимать корреспонденцию лично или физически отсутствует в офисе. В расчёт KPI заложен ожидаемый показатель доставки 80-90% от тиража. Оставшиеся комплекты доставляются заказным письмом или передаются повторно.</w:t>
      </w:r>
    </w:p>
    <w:p>
      <w:pPr>
        <w:pStyle w:val="Heading1"/>
        <w:spacing w:after="200" w:before="360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Бюджет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Расчёт ориентировочный, в рублях, на апрель 2026 г. Точные цифры формируются в коммерческих предложениях типографии после согласования макетов. Ниже приведён расчёт на одну тему (50 комплектов).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1700"/>
        <w:gridCol w:w="1100"/>
        <w:gridCol w:w="2360"/>
      </w:tblGrid>
      <w:tr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8E8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Позиция</w:t>
            </w:r>
          </w:p>
        </w:tc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8E8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Цена за шт., ₽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8E8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Кол-во</w:t>
            </w:r>
          </w:p>
        </w:tc>
        <w:tc>
          <w:tcPr>
            <w:tcW w:type="dxa" w:w="23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8E8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Сумма, ₽</w:t>
            </w:r>
          </w:p>
        </w:tc>
      </w:tr>
      <w:tr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Конверт крафт С4 со шнуровой застёжкой и тиснением логотипа</w:t>
            </w:r>
          </w:p>
        </w:tc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1 313-2 250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50</w:t>
            </w:r>
          </w:p>
        </w:tc>
        <w:tc>
          <w:tcPr>
            <w:tcW w:type="dxa" w:w="23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65 650-112 500</w:t>
            </w:r>
          </w:p>
        </w:tc>
      </w:tr>
      <w:tr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Письмо Губернатора (Sirio Pearl 300 г/м², цифровая печать)</w:t>
            </w:r>
          </w:p>
        </w:tc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281-469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50</w:t>
            </w:r>
          </w:p>
        </w:tc>
        <w:tc>
          <w:tcPr>
            <w:tcW w:type="dxa" w:w="23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14 050-23 450</w:t>
            </w:r>
          </w:p>
        </w:tc>
      </w:tr>
      <w:tr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Тиснение двуглавого орла золотой фольгой (плюс клише 7 500-11 250 ₽)</w:t>
            </w:r>
          </w:p>
        </w:tc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375-656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50</w:t>
            </w:r>
          </w:p>
        </w:tc>
        <w:tc>
          <w:tcPr>
            <w:tcW w:type="dxa" w:w="23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26 250-44 050</w:t>
            </w:r>
          </w:p>
        </w:tc>
      </w:tr>
      <w:tr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Брошюра А4, 16 стр., КБС, Soft Touch и выборочный УФ-лак</w:t>
            </w:r>
          </w:p>
        </w:tc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1 500-2 625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50</w:t>
            </w:r>
          </w:p>
        </w:tc>
        <w:tc>
          <w:tcPr>
            <w:tcW w:type="dxa" w:w="23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75 000-131 250</w:t>
            </w:r>
          </w:p>
        </w:tc>
      </w:tr>
      <w:tr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Информационные листы (3 листа на комплект)</w:t>
            </w:r>
          </w:p>
        </w:tc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94-188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150</w:t>
            </w:r>
          </w:p>
        </w:tc>
        <w:tc>
          <w:tcPr>
            <w:tcW w:type="dxa" w:w="23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14 100-28 200</w:t>
            </w:r>
          </w:p>
        </w:tc>
      </w:tr>
      <w:tr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Стикеры виниловые 70×70 мм (14 шт. на комплект)</w:t>
            </w:r>
          </w:p>
        </w:tc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47-94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700</w:t>
            </w:r>
          </w:p>
        </w:tc>
        <w:tc>
          <w:tcPr>
            <w:tcW w:type="dxa" w:w="23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32 900-65 800</w:t>
            </w:r>
          </w:p>
        </w:tc>
      </w:tr>
      <w:tr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QR-карточка (350 г/м², Soft Touch)</w:t>
            </w:r>
          </w:p>
        </w:tc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113-225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50</w:t>
            </w:r>
          </w:p>
        </w:tc>
        <w:tc>
          <w:tcPr>
            <w:tcW w:type="dxa" w:w="23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5 650-11 250</w:t>
            </w:r>
          </w:p>
        </w:tc>
      </w:tr>
      <w:tr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Сборка комплекта и вложение в конверт</w:t>
            </w:r>
          </w:p>
        </w:tc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188-338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50</w:t>
            </w:r>
          </w:p>
        </w:tc>
        <w:tc>
          <w:tcPr>
            <w:tcW w:type="dxa" w:w="23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9 400-16 900</w:t>
            </w:r>
          </w:p>
        </w:tc>
      </w:tr>
      <w:tr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Дизайн и верстка макетов</w:t>
            </w:r>
          </w:p>
        </w:tc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-</w:t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</w:t>
            </w:r>
          </w:p>
        </w:tc>
        <w:tc>
          <w:tcPr>
            <w:tcW w:type="dxa" w:w="23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0 (внутренний ресурс)</w:t>
            </w:r>
          </w:p>
        </w:tc>
      </w:tr>
      <w:tr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ИТОГО на 1 тему (50 комплектов)</w:t>
            </w:r>
          </w:p>
        </w:tc>
        <w:tc>
          <w:tcPr>
            <w:tcW w:type="dxa" w:w="17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tcW w:type="dxa" w:w="1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tcW w:type="dxa" w:w="236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243 000-433 400</w:t>
            </w:r>
          </w:p>
        </w:tc>
      </w:tr>
    </w:tbl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Стоимость одного комплекта: 4 785-8 555 ₽. Дизайн и верстка макетов выполняются штатным дизайнером без дополнительных затрат.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Итого на 2 темы (100 комплектов): 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при общем клише для тиснения общий бюджет на 100 комплектов составляет 478 500-855 500 ₽ (производство 471 000-844 300 ₽, клише для тиснения 7 500-11 250 ₽). Дизайн и верстка макетов не закладываются в бюджет: работы выполняются штатным дизайнером. Бюджет указан без учёта доставки.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Личная доставка осуществляется силами проектной команды и не создаёт дополнительной статьи расходов.</w:t>
      </w:r>
    </w:p>
    <w:p>
      <w:pPr>
        <w:pStyle w:val="Heading1"/>
        <w:spacing w:after="200" w:before="360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Прогноз результатов (KPI)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Прогноз построен на отраслевых данных по B2B директ-мейл с персонализацией с поправкой на премиальный формат и отправителя в статусе государственного должностного лица. База расчёта: 100 адресатов суммарно по двум темам.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2580"/>
        <w:gridCol w:w="2580"/>
      </w:tblGrid>
      <w:tr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8E8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Метрика</w:t>
            </w:r>
          </w:p>
        </w:tc>
        <w:tc>
          <w:tcPr>
            <w:tcW w:type="dxa" w:w="25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8E8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Консервативный</w:t>
            </w:r>
          </w:p>
        </w:tc>
        <w:tc>
          <w:tcPr>
            <w:tcW w:type="dxa" w:w="25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8E8E8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Оптимистичный</w:t>
            </w:r>
          </w:p>
        </w:tc>
      </w:tr>
      <w:tr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Доставка комплекта (от тиража 100)</w:t>
            </w:r>
          </w:p>
        </w:tc>
        <w:tc>
          <w:tcPr>
            <w:tcW w:type="dxa" w:w="25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80% (80 шт.)</w:t>
            </w:r>
          </w:p>
        </w:tc>
        <w:tc>
          <w:tcPr>
            <w:tcW w:type="dxa" w:w="25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90% (90 шт.)</w:t>
            </w:r>
          </w:p>
        </w:tc>
      </w:tr>
      <w:tr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Открытие конверта (от доставленного)</w:t>
            </w:r>
          </w:p>
        </w:tc>
        <w:tc>
          <w:tcPr>
            <w:tcW w:type="dxa" w:w="25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90%</w:t>
            </w:r>
          </w:p>
        </w:tc>
        <w:tc>
          <w:tcPr>
            <w:tcW w:type="dxa" w:w="25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100%</w:t>
            </w:r>
          </w:p>
        </w:tc>
      </w:tr>
      <w:tr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Ознакомление с материалами</w:t>
            </w:r>
          </w:p>
        </w:tc>
        <w:tc>
          <w:tcPr>
            <w:tcW w:type="dxa" w:w="25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70-80%</w:t>
            </w:r>
          </w:p>
        </w:tc>
        <w:tc>
          <w:tcPr>
            <w:tcW w:type="dxa" w:w="25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90%</w:t>
            </w:r>
          </w:p>
        </w:tc>
      </w:tr>
      <w:tr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Отклик (Response Rate)</w:t>
            </w:r>
          </w:p>
        </w:tc>
        <w:tc>
          <w:tcPr>
            <w:tcW w:type="dxa" w:w="25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10-15%</w:t>
            </w:r>
          </w:p>
        </w:tc>
        <w:tc>
          <w:tcPr>
            <w:tcW w:type="dxa" w:w="25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25-30%</w:t>
            </w:r>
          </w:p>
        </w:tc>
      </w:tr>
      <w:tr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Полученные контакты, шт.</w:t>
            </w:r>
          </w:p>
        </w:tc>
        <w:tc>
          <w:tcPr>
            <w:tcW w:type="dxa" w:w="25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8-13</w:t>
            </w:r>
          </w:p>
        </w:tc>
        <w:tc>
          <w:tcPr>
            <w:tcW w:type="dxa" w:w="25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22-27</w:t>
            </w:r>
          </w:p>
        </w:tc>
      </w:tr>
      <w:tr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Переход к переговорам</w:t>
            </w:r>
          </w:p>
        </w:tc>
        <w:tc>
          <w:tcPr>
            <w:tcW w:type="dxa" w:w="25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5-10%</w:t>
            </w:r>
          </w:p>
        </w:tc>
        <w:tc>
          <w:tcPr>
            <w:tcW w:type="dxa" w:w="25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15-20%</w:t>
            </w:r>
          </w:p>
        </w:tc>
      </w:tr>
      <w:tr>
        <w:tc>
          <w:tcPr>
            <w:tcW w:type="dxa" w:w="4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left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Стоимость 1 контакта (CPL), ₽</w:t>
            </w:r>
          </w:p>
        </w:tc>
        <w:tc>
          <w:tcPr>
            <w:tcW w:type="dxa" w:w="25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36 800-106 900</w:t>
            </w:r>
          </w:p>
        </w:tc>
        <w:tc>
          <w:tcPr>
            <w:tcW w:type="dxa" w:w="258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0"/>
              <w:jc w:val="center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17 700-38 900</w:t>
            </w:r>
          </w:p>
        </w:tc>
      </w:tr>
    </w:tbl>
    <w:p>
      <w:pPr>
        <w:spacing w:after="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При личной доставке от имени государственного должностного лица показатели могут оказаться выше среднерыночных, поскольку такой формат нетипичен для коммерческих рассылок и привлекает повышенное внимание. Часть адресатов отказывается принимать корреспонденцию или физически отсутствует в офисе, поэтому в консервативном сценарии заложен показатель доставки 80%.</w:t>
      </w:r>
    </w:p>
    <w:p>
      <w:pPr>
        <w:pStyle w:val="Heading1"/>
        <w:spacing w:after="200" w:before="360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Производство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Размещение всего тиража (печать, постпечатная отделка, сборка, вложение в конверт) у одного подрядчика. Это позволяет получить единую цветопробу, синхронизировать сроки и избежать рассогласования качества между элементами комплекта.</w:t>
      </w:r>
    </w:p>
    <w:p>
      <w:pPr>
        <w:spacing w:after="140" w:line="320"/>
        <w:jc w:val="both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Ключевые требования к подрядчику:</w:t>
      </w:r>
    </w:p>
    <w:p>
      <w:pPr>
        <w:pStyle w:val="ListParagraph"/>
        <w:numPr>
          <w:ilvl w:val="0"/>
          <w:numId w:val="3"/>
        </w:numPr>
        <w:spacing w:after="8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Опыт работы с малыми тиражами 50-100 экземпляров на цифровой печати премиум-уровня.</w:t>
      </w:r>
    </w:p>
    <w:p>
      <w:pPr>
        <w:pStyle w:val="ListParagraph"/>
        <w:numPr>
          <w:ilvl w:val="0"/>
          <w:numId w:val="3"/>
        </w:numPr>
        <w:spacing w:after="8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Возможность тиснения золотой фольгой на дизайнерской бумаге плотностью 300 г/м².</w:t>
      </w:r>
    </w:p>
    <w:p>
      <w:pPr>
        <w:pStyle w:val="ListParagraph"/>
        <w:numPr>
          <w:ilvl w:val="0"/>
          <w:numId w:val="3"/>
        </w:numPr>
        <w:spacing w:after="8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Возможность отделки брошюры комбинацией Soft Touch и выборочного УФ-лака.</w:t>
      </w:r>
    </w:p>
    <w:p>
      <w:pPr>
        <w:pStyle w:val="ListParagraph"/>
        <w:numPr>
          <w:ilvl w:val="0"/>
          <w:numId w:val="3"/>
        </w:numPr>
        <w:spacing w:after="8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Возможность изготовления крафт-конвертов формата С4 со шнуровой застёжкой по индивидуальному макету.</w:t>
      </w:r>
    </w:p>
    <w:p>
      <w:pPr>
        <w:pStyle w:val="ListParagraph"/>
        <w:numPr>
          <w:ilvl w:val="0"/>
          <w:numId w:val="3"/>
        </w:numPr>
        <w:spacing w:after="8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Возможность печати переменных данных (имя адресата на конверте, ФИО в письме).</w:t>
      </w:r>
    </w:p>
    <w:p>
      <w:pPr>
        <w:pStyle w:val="ListParagraph"/>
        <w:numPr>
          <w:ilvl w:val="0"/>
          <w:numId w:val="3"/>
        </w:numPr>
        <w:spacing w:after="8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Готовность работать по 44-ФЗ или 223-ФЗ с государственным заказчиком.</w:t>
      </w:r>
    </w:p>
    <w:p>
      <w:pPr>
        <w:pStyle w:val="Heading1"/>
        <w:spacing w:after="200" w:before="360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План реализации</w:t>
      </w:r>
    </w:p>
    <w:p>
      <w:pPr>
        <w:pStyle w:val="ListParagraph"/>
        <w:numPr>
          <w:ilvl w:val="0"/>
          <w:numId w:val="2"/>
        </w:numPr>
        <w:spacing w:after="10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Утверждение концепции и бюджета.</w:t>
      </w:r>
    </w:p>
    <w:p>
      <w:pPr>
        <w:pStyle w:val="ListParagraph"/>
        <w:numPr>
          <w:ilvl w:val="0"/>
          <w:numId w:val="2"/>
        </w:numPr>
        <w:spacing w:after="10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Запрос коммерческих предложений у 3-5 типографий полного цикла.</w:t>
      </w:r>
    </w:p>
    <w:p>
      <w:pPr>
        <w:pStyle w:val="ListParagraph"/>
        <w:numPr>
          <w:ilvl w:val="0"/>
          <w:numId w:val="2"/>
        </w:numPr>
        <w:spacing w:after="10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Выбор подрядчика и подписание договора.</w:t>
      </w:r>
    </w:p>
    <w:p>
      <w:pPr>
        <w:pStyle w:val="ListParagraph"/>
        <w:numPr>
          <w:ilvl w:val="0"/>
          <w:numId w:val="2"/>
        </w:numPr>
        <w:spacing w:after="10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Разработка дизайн-макетов всех элементов комплекта (включая 14 макетов стикеров).</w:t>
      </w:r>
    </w:p>
    <w:p>
      <w:pPr>
        <w:pStyle w:val="ListParagraph"/>
        <w:numPr>
          <w:ilvl w:val="0"/>
          <w:numId w:val="2"/>
        </w:numPr>
        <w:spacing w:after="10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Формирование базы адресатов по обеим темам (50 + 50 ЛПР).</w:t>
      </w:r>
    </w:p>
    <w:p>
      <w:pPr>
        <w:pStyle w:val="ListParagraph"/>
        <w:numPr>
          <w:ilvl w:val="0"/>
          <w:numId w:val="2"/>
        </w:numPr>
        <w:spacing w:after="10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Согласование макетов с Департаментом экономики и инвестиций.</w:t>
      </w:r>
    </w:p>
    <w:p>
      <w:pPr>
        <w:pStyle w:val="ListParagraph"/>
        <w:numPr>
          <w:ilvl w:val="0"/>
          <w:numId w:val="2"/>
        </w:numPr>
        <w:spacing w:after="10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Изготовление тиражного образца (1 комплект) для финального утверждения.</w:t>
      </w:r>
    </w:p>
    <w:p>
      <w:pPr>
        <w:pStyle w:val="ListParagraph"/>
        <w:numPr>
          <w:ilvl w:val="0"/>
          <w:numId w:val="2"/>
        </w:numPr>
        <w:spacing w:after="10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Запуск тиража.</w:t>
      </w:r>
    </w:p>
    <w:p>
      <w:pPr>
        <w:pStyle w:val="ListParagraph"/>
        <w:numPr>
          <w:ilvl w:val="0"/>
          <w:numId w:val="2"/>
        </w:numPr>
        <w:spacing w:after="10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Доставка комплектов в офисы адресатов в Москве.</w:t>
      </w:r>
    </w:p>
    <w:p>
      <w:pPr>
        <w:pStyle w:val="ListParagraph"/>
        <w:numPr>
          <w:ilvl w:val="0"/>
          <w:numId w:val="2"/>
        </w:numPr>
        <w:spacing w:after="10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Follow-up через 3-5 рабочих дней после доставки.</w:t>
      </w:r>
    </w:p>
    <w:p>
      <w:pPr>
        <w:pStyle w:val="ListParagraph"/>
        <w:numPr>
          <w:ilvl w:val="0"/>
          <w:numId w:val="2"/>
        </w:numPr>
        <w:spacing w:after="100" w:line="320"/>
        <w:jc w:val="both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Оценка результатов кампании по KPI.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360"/>
      <w:outlineLvl w:val="0"/>
    </w:pPr>
    <w:rPr>
      <w:rFonts w:ascii="Times New Roman" w:cs="Times New Roman" w:eastAsia="Times New Roman" w:hAnsi="Times New Roman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60" w:before="280"/>
      <w:outlineLvl w:val="1"/>
    </w:pPr>
    <w:rPr>
      <w:rFonts w:ascii="Times New Roman" w:cs="Times New Roman" w:eastAsia="Times New Roman" w:hAnsi="Times New Roman"/>
      <w:b/>
      <w:bCs/>
      <w:color w:val="000000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Директ-мейл «Инвестируй в Чукотку»</dc:title>
  <dc:creator>Department of Economics and Investments</dc:creator>
  <cp:lastModifiedBy>Un-named</cp:lastModifiedBy>
  <cp:revision>1</cp:revision>
  <dcterms:created xsi:type="dcterms:W3CDTF">2026-05-07T23:57:59.960Z</dcterms:created>
  <dcterms:modified xsi:type="dcterms:W3CDTF">2026-05-07T23:57:59.977Z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