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rPr/>
      </w:pPr>
      <w:bookmarkStart w:colFirst="0" w:colLast="0" w:name="_j4lklxso1m8s" w:id="0"/>
      <w:bookmarkEnd w:id="0"/>
      <w:r w:rsidDel="00000000" w:rsidR="00000000" w:rsidRPr="00000000">
        <w:rPr>
          <w:rtl w:val="0"/>
        </w:rPr>
        <w:t xml:space="preserve">Маршруты и места размещения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Для максимального охвата целевой аудитории при использовании диджитал-мобиля стоит отдать приоритет оживленным магистралям и центру города. Ключевые трассы –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Третье транспортное кольцо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(ТТК) и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Садовое кольцо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– традиционно самые загруженные (особенно в часы пик). На ТТК и Садовом кольце вечером фиксируется сильнейшая пробка, скорость движения там ≈10–12 км/ч. Среди центральных улиц с пешеходным и авто-трафиком можно назвать Тверскую, Новинский бульвар, Садовую-Кудринскую, а также культовые переулки (Петровка, Покровка, Неглинная, Ильинка, Арбат и др.). Маршруты вокруг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Москва-Сити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и вдоль больших ТЦ (Авиапарк, Метрополис) дадут дополнительные контакты. При планировании важно учитывать время суток и день недели: вечером и в выходные потоки пешеходов и транспорта могут резко меняться. Эффект усилится, если показывать ролики в часы пик (утренний и вечерний «час-пик»).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rPr/>
      </w:pPr>
      <w:bookmarkStart w:colFirst="0" w:colLast="0" w:name="_r9b26v7tofnz" w:id="1"/>
      <w:bookmarkEnd w:id="1"/>
      <w:r w:rsidDel="00000000" w:rsidR="00000000" w:rsidRPr="00000000">
        <w:rPr>
          <w:rtl w:val="0"/>
        </w:rPr>
        <w:t xml:space="preserve">Дизайн автомобиля и креатив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Диджитал-мобиль – это грузовик, кузов которого полностью закрыт трёхсторонними LED-экранами высокого разрешения. Для оформления предлагается яркий «холодный» дизайн с элементами арктических пейзажей и индустриальными иконками (нефть, газ, золото). На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задней панели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машины размещается крупный QR-код, ведущий на инвестиционный портал (например, dep.invest-chukotka.ru или chukotka-invest.ru).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На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боковых экранах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– динамическая графика: северные горы и лес, объекты инфраструктуры, танцующие северные олени и прочие «арктические» мотивы. Крупным шрифтом выводятся ключевые цифры региона: прирост экономики +17,8% в год; собственные доходы выросли втрое за 15 лет; прогнозные инвестиции 1291 млрд руб. до 2030 г.. Подчёркиваются приоритетные отрасли (горнодобыча: «550+ месторождений, 75% золота страны»; горный сектор – «108,5% индекс промышленного производства, 1-е место на ДВ»; сельское хозяйство – «6-е место на ДВ, 2 млрд руб. продукции»). Фон сопровождает слайд «Чукотка – территория возможностей», а внизу бегущая строка: «Инвестируй в Арктику – получи поддержку государства».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Пример: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динамичный видеофрагмент показывает карту России с подсветкой Чукотки, затем – график роста ВРП и яркие иконки месторождений. Надпись «Чукотка приглашает инвесторов! Узнай больше – сканируй QR». LED-экраны гарантируют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«яркость и динамичность»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сообщения и могут многократно менять контент под нужды кампании. Такой мобильный формат привлекает внимание: ролики на движущемся авто дают существенно больше контактов, чем статичные щиты.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rPr/>
      </w:pPr>
      <w:bookmarkStart w:colFirst="0" w:colLast="0" w:name="_awlfc6w9nxew" w:id="2"/>
      <w:bookmarkEnd w:id="2"/>
      <w:r w:rsidDel="00000000" w:rsidR="00000000" w:rsidRPr="00000000">
        <w:rPr>
          <w:rtl w:val="0"/>
        </w:rPr>
        <w:t xml:space="preserve">Рекламная идея (скрипт ролика)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Начало: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затемнённый экран, появляется северное сияние и крупный белый текст «Чукотка – на границе России и Америки». Подсветка логотипа регионального инвестпортала.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Слайд 1: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пейзаж Северо-Востока. Текст: «+17,8% средний годовой прирост ВРП», «Собственные доходы выросли в 3 раза за 15 лет». Мелкий QR-код и кнопка «Узнать больше на сайте».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Слайд 2: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образ золотого песка (иллюстрация месторождения). Текст: «550+ крупных месторождений, 75% всего золота России». Мелкий QR-код и кнопка «Узнать больше на сайте».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Слайд 3: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диаграмма роста. Текст: «108.5% – индекс промышленного производства (2024), 1-е место на Дальнем Востоке». Мелкий QR-код и кнопка «Узнать больше на сайте».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Слайд 4: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статистика качества жизни: «184 970₽ – средняя зарплата (1-е место на ДВ)», «600 новых рабочих мест в 2023 году». Мелкий QR-код и кнопка «Узнать больше на сайте».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Финал: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слоган «Инвестируй в будущее с Чукоткой», крупный QR-код и кнопка «Узнать больше на сайте». Звучит лёгкая арктическая мелодия.</w:t>
        <w:br w:type="textWrapping"/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За счёт ритмичных переходов и яркой графики ролик создает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WOW-эффект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и наглядно формирует доверие к региону.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rPr/>
      </w:pPr>
      <w:bookmarkStart w:colFirst="0" w:colLast="0" w:name="_b1xhvq645p2n" w:id="3"/>
      <w:bookmarkEnd w:id="3"/>
      <w:r w:rsidDel="00000000" w:rsidR="00000000" w:rsidRPr="00000000">
        <w:rPr>
          <w:rtl w:val="0"/>
        </w:rPr>
        <w:t xml:space="preserve">Параметры кампании и охваты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Расчёт базируется на ориентировочных расценках (от 18–20 тыс.₽/час) и предполагает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4–6 часов в день в центре города и по магистралям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. Например, при бюджете 300 тыс. руб. одна машина может ездить 4 ч/день в течение ~4 дней (итог ~14–15 часов). За это время аудитория ролика (пешеходы и водители) может составить порядка сотни тысяч OTS (Opportunity-to-See) – таких прогнозов достигают современные медиаматриксы для популярных маршрутов. Удвоение бюджета позволяет удвоить число машин или дней: при 1 млн руб. эффективна схема 2 машины по 4 ч/день около 6 дней.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Время суток: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для диджитал-мобиля оптимальны дневные «часы пик», когда вокруг много пешеходов и транспорта. Стоит избежать ночных показов – в темное время поток снижен. По выходным и праздникам целесообразно выбирать те центральные районы, где активен туризм и шопинг (Кремль, Большой, «Москва-Сити»), тогда как в будни – деловой центр и крупные развязки.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Итог: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диджитал-мобиль обеспечит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rtl w:val="0"/>
        </w:rPr>
        <w:t xml:space="preserve">колоссальные охваты аудитории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 на центральных трассах. Сценарий с ключевыми фактами о Чукотке и QR-кодом на цель будет заметен, а анализ данных (Big Data) позволяет точно спрогнозировать охваты по выбранным маршрутам.</w:t>
      </w:r>
    </w:p>
    <w:p w:rsidR="00000000" w:rsidDel="00000000" w:rsidP="00000000" w:rsidRDefault="00000000" w:rsidRPr="00000000" w14:paraId="00000013">
      <w:pPr>
        <w:rPr>
          <w:rFonts w:ascii="Roboto Mono" w:cs="Roboto Mono" w:eastAsia="Roboto Mono" w:hAnsi="Roboto Mono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jc w:val="center"/>
    </w:pPr>
    <w:rPr>
      <w:rFonts w:ascii="Roboto Mono" w:cs="Roboto Mono" w:eastAsia="Roboto Mono" w:hAnsi="Roboto Mono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